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125C6A" w:rsidRDefault="000B4218" w:rsidP="009C0E10">
      <w:pPr>
        <w:pStyle w:val="Titel2rechtsbndig"/>
      </w:pPr>
      <w:r>
        <w:t xml:space="preserve">Mitteilung des </w:t>
      </w:r>
      <w:r w:rsidRPr="00125C6A">
        <w:t>SDBB</w:t>
      </w:r>
      <w:r w:rsidR="00C23FF6" w:rsidRPr="00125C6A">
        <w:br/>
      </w:r>
      <w:r w:rsidR="00093EFE">
        <w:t xml:space="preserve">Abteilung </w:t>
      </w:r>
      <w:r w:rsidRPr="00125C6A">
        <w:t>Medien Berufsbildung</w:t>
      </w:r>
    </w:p>
    <w:p w:rsidR="00966744" w:rsidRPr="00966744" w:rsidRDefault="00966744" w:rsidP="00966744">
      <w:pPr>
        <w:pStyle w:val="Titel1rechtsbndig"/>
        <w:rPr>
          <w:b w:val="0"/>
          <w:bCs w:val="0"/>
        </w:rPr>
      </w:pPr>
      <w:r w:rsidRPr="00966744">
        <w:t>N</w:t>
      </w:r>
      <w:r>
        <w:t>a</w:t>
      </w:r>
      <w:r w:rsidRPr="00966744">
        <w:t>chteilsausgleich</w:t>
      </w:r>
      <w:r w:rsidRPr="00966744">
        <w:rPr>
          <w:bCs w:val="0"/>
        </w:rPr>
        <w:t xml:space="preserve"> für Menschen mit  Behinderung in der Berufsbildung</w:t>
      </w:r>
      <w:r>
        <w:rPr>
          <w:bCs w:val="0"/>
        </w:rPr>
        <w:t>:</w:t>
      </w:r>
      <w:r w:rsidR="00B37040">
        <w:rPr>
          <w:bCs w:val="0"/>
        </w:rPr>
        <w:t xml:space="preserve"> </w:t>
      </w:r>
      <w:r w:rsidRPr="00966744">
        <w:t>Bericht</w:t>
      </w:r>
      <w:r>
        <w:br/>
      </w:r>
    </w:p>
    <w:p w:rsidR="00FC2D36" w:rsidRPr="001244FC" w:rsidRDefault="00FC2D36" w:rsidP="00FC2D36">
      <w:pPr>
        <w:pStyle w:val="Untertitellinksbndig"/>
        <w:rPr>
          <w:lang w:val="de-CH"/>
        </w:rPr>
      </w:pPr>
      <w:r>
        <w:rPr>
          <w:lang w:val="de-CH"/>
        </w:rPr>
        <w:t>Ziel: Chancengleichheit für Menschen mit Behinderung in der Berufsbildung</w:t>
      </w:r>
    </w:p>
    <w:p w:rsidR="004C1A8A" w:rsidRPr="00937891" w:rsidRDefault="004C1A8A" w:rsidP="000107DB">
      <w:pPr>
        <w:pStyle w:val="LauftextBlocksatzmitTrennung"/>
        <w:spacing w:after="120"/>
        <w:rPr>
          <w:lang w:val="de-CH"/>
        </w:rPr>
      </w:pPr>
      <w:r w:rsidRPr="004C1A8A">
        <w:rPr>
          <w:lang w:val="de-CH"/>
        </w:rPr>
        <w:t xml:space="preserve">Unter dem Begriff </w:t>
      </w:r>
      <w:r w:rsidR="00EC3673">
        <w:rPr>
          <w:lang w:val="de-CH"/>
        </w:rPr>
        <w:t>« </w:t>
      </w:r>
      <w:r w:rsidRPr="004C1A8A">
        <w:rPr>
          <w:lang w:val="de-CH"/>
        </w:rPr>
        <w:t>Nachteilsausgleich für Menschen mit Behinderung</w:t>
      </w:r>
      <w:r w:rsidR="00EC3673">
        <w:rPr>
          <w:lang w:val="de-CH"/>
        </w:rPr>
        <w:t> »</w:t>
      </w:r>
      <w:r w:rsidRPr="004C1A8A">
        <w:rPr>
          <w:lang w:val="de-CH"/>
        </w:rPr>
        <w:t xml:space="preserve"> werden spezifische Massnahmen verstanden, die zum Ziel haben, behinderungsbedingte Nachteile auszugleichen</w:t>
      </w:r>
      <w:r w:rsidR="007160E8">
        <w:rPr>
          <w:lang w:val="de-CH"/>
        </w:rPr>
        <w:t xml:space="preserve">. </w:t>
      </w:r>
      <w:r w:rsidRPr="004C1A8A">
        <w:rPr>
          <w:lang w:val="de-CH"/>
        </w:rPr>
        <w:t xml:space="preserve">In der Berufsbildung </w:t>
      </w:r>
      <w:r w:rsidR="009737CB">
        <w:rPr>
          <w:lang w:val="de-CH"/>
        </w:rPr>
        <w:t xml:space="preserve">sind damit </w:t>
      </w:r>
      <w:r w:rsidR="007160E8">
        <w:rPr>
          <w:lang w:val="de-CH"/>
        </w:rPr>
        <w:t>A</w:t>
      </w:r>
      <w:r w:rsidR="007160E8" w:rsidRPr="00937891">
        <w:rPr>
          <w:lang w:val="de-CH"/>
        </w:rPr>
        <w:t>npassungen des</w:t>
      </w:r>
      <w:r w:rsidRPr="00937891">
        <w:rPr>
          <w:lang w:val="de-CH"/>
        </w:rPr>
        <w:t xml:space="preserve"> Ausbildungsprozess</w:t>
      </w:r>
      <w:r w:rsidR="007160E8" w:rsidRPr="00937891">
        <w:rPr>
          <w:lang w:val="de-CH"/>
        </w:rPr>
        <w:t>es</w:t>
      </w:r>
      <w:r w:rsidRPr="00937891">
        <w:rPr>
          <w:lang w:val="de-CH"/>
        </w:rPr>
        <w:t xml:space="preserve"> und </w:t>
      </w:r>
      <w:r w:rsidR="007160E8" w:rsidRPr="00937891">
        <w:rPr>
          <w:lang w:val="de-CH"/>
        </w:rPr>
        <w:t>der</w:t>
      </w:r>
      <w:r w:rsidRPr="00937891">
        <w:rPr>
          <w:lang w:val="de-CH"/>
        </w:rPr>
        <w:t xml:space="preserve"> Qualifikationsverfahren</w:t>
      </w:r>
      <w:r w:rsidR="009737CB" w:rsidRPr="00937891">
        <w:rPr>
          <w:lang w:val="de-CH"/>
        </w:rPr>
        <w:t xml:space="preserve"> gemeint</w:t>
      </w:r>
      <w:r w:rsidR="007160E8" w:rsidRPr="00937891">
        <w:rPr>
          <w:lang w:val="de-CH"/>
        </w:rPr>
        <w:t>, wobei d</w:t>
      </w:r>
      <w:r w:rsidRPr="00937891">
        <w:rPr>
          <w:lang w:val="de-CH"/>
        </w:rPr>
        <w:t>ie kognitiven und fachlichen Anforderungen den in den Bildungsverordnungen formulierten Berufsanforderungen, also denjenigen der nicht-behinderten Lernenden, entsprechen</w:t>
      </w:r>
      <w:r w:rsidR="009737CB" w:rsidRPr="00937891">
        <w:rPr>
          <w:lang w:val="de-CH"/>
        </w:rPr>
        <w:t xml:space="preserve"> müssen</w:t>
      </w:r>
      <w:r w:rsidRPr="00937891">
        <w:rPr>
          <w:lang w:val="de-CH"/>
        </w:rPr>
        <w:t>.</w:t>
      </w:r>
    </w:p>
    <w:p w:rsidR="009737CB" w:rsidRPr="00937891" w:rsidRDefault="009737CB" w:rsidP="009737CB">
      <w:pPr>
        <w:jc w:val="both"/>
        <w:rPr>
          <w:rFonts w:eastAsia="Times New Roman"/>
          <w:lang w:val="de-CH"/>
        </w:rPr>
      </w:pPr>
      <w:r w:rsidRPr="00937891">
        <w:rPr>
          <w:lang w:val="de-CH"/>
        </w:rPr>
        <w:t xml:space="preserve">Doch was heisst dies konkret? Was muss bei </w:t>
      </w:r>
      <w:r w:rsidR="00FC2D36" w:rsidRPr="00937891">
        <w:rPr>
          <w:lang w:val="de-CH"/>
        </w:rPr>
        <w:t xml:space="preserve">der </w:t>
      </w:r>
      <w:r w:rsidR="00FC2D36" w:rsidRPr="00937891">
        <w:rPr>
          <w:rFonts w:eastAsia="Times New Roman"/>
          <w:lang w:val="de-CH"/>
        </w:rPr>
        <w:t>Erarbeitung</w:t>
      </w:r>
      <w:r w:rsidR="004D7B72" w:rsidRPr="00937891">
        <w:rPr>
          <w:rFonts w:eastAsia="Times New Roman"/>
          <w:lang w:val="de-CH"/>
        </w:rPr>
        <w:t>/</w:t>
      </w:r>
      <w:r w:rsidR="00FC2D36" w:rsidRPr="00937891">
        <w:rPr>
          <w:rFonts w:eastAsia="Times New Roman"/>
          <w:lang w:val="de-CH"/>
        </w:rPr>
        <w:t xml:space="preserve">Überprüfung von Anträgen zum Nachteilsausgleich </w:t>
      </w:r>
      <w:r w:rsidRPr="00937891">
        <w:rPr>
          <w:rFonts w:eastAsia="Times New Roman"/>
          <w:lang w:val="de-CH"/>
        </w:rPr>
        <w:t xml:space="preserve">beachtet werden? </w:t>
      </w:r>
      <w:r w:rsidR="001244FC" w:rsidRPr="00937891">
        <w:rPr>
          <w:rFonts w:eastAsia="Times New Roman"/>
          <w:lang w:val="de-CH"/>
        </w:rPr>
        <w:t>Mit</w:t>
      </w:r>
      <w:r w:rsidRPr="00937891">
        <w:rPr>
          <w:rFonts w:eastAsia="Times New Roman"/>
          <w:lang w:val="de-CH"/>
        </w:rPr>
        <w:t xml:space="preserve"> diesem Thema</w:t>
      </w:r>
      <w:r w:rsidR="001244FC" w:rsidRPr="00937891">
        <w:rPr>
          <w:rFonts w:eastAsia="Times New Roman"/>
          <w:lang w:val="de-CH"/>
        </w:rPr>
        <w:t xml:space="preserve"> befasste sich das Projekt BBT 09-847 des Staatssekretariats für Bildung, Forschung und Innovation SBFI unter der Leitung von Fritz Steiner. Am Projekt waren unter anderem verschiedene Behinderten-Verbände und -Dach</w:t>
      </w:r>
      <w:r w:rsidR="001244FC" w:rsidRPr="00937891">
        <w:rPr>
          <w:rFonts w:eastAsia="Times New Roman"/>
          <w:lang w:val="de-CH"/>
        </w:rPr>
        <w:softHyphen/>
        <w:t>organisationen beteiligt, ausserdem diverse Institutionen des Bundes und der Kantone, welche sich mit Berufsbildung, Behinderungen und/oder Gleichstellung befassen.</w:t>
      </w:r>
    </w:p>
    <w:p w:rsidR="009737CB" w:rsidRPr="00937891" w:rsidRDefault="009737CB" w:rsidP="009737CB">
      <w:pPr>
        <w:jc w:val="both"/>
        <w:rPr>
          <w:rFonts w:eastAsia="Times New Roman"/>
          <w:lang w:val="de-CH"/>
        </w:rPr>
      </w:pPr>
    </w:p>
    <w:p w:rsidR="00FC2D36" w:rsidRPr="00937891" w:rsidRDefault="00FC2D36" w:rsidP="0045721C">
      <w:pPr>
        <w:pStyle w:val="Untertitellinksbndig"/>
        <w:rPr>
          <w:lang w:val="de-CH"/>
        </w:rPr>
      </w:pPr>
      <w:r w:rsidRPr="00937891">
        <w:rPr>
          <w:lang w:val="de-CH"/>
        </w:rPr>
        <w:t>Wichtige Arbeitsgrundlage für Fachpersonen und Fachstellen</w:t>
      </w:r>
    </w:p>
    <w:p w:rsidR="004C1A8A" w:rsidRPr="00937891" w:rsidRDefault="001244FC" w:rsidP="000107DB">
      <w:pPr>
        <w:pStyle w:val="LauftextBlocksatzmitTrennung"/>
        <w:spacing w:after="120"/>
        <w:rPr>
          <w:lang w:val="de-CH"/>
        </w:rPr>
      </w:pPr>
      <w:r w:rsidRPr="00937891">
        <w:rPr>
          <w:lang w:val="de-CH"/>
        </w:rPr>
        <w:t xml:space="preserve">Die Publikation </w:t>
      </w:r>
      <w:r w:rsidR="00EC3673">
        <w:rPr>
          <w:lang w:val="de-CH"/>
        </w:rPr>
        <w:t>« </w:t>
      </w:r>
      <w:r w:rsidRPr="00937891">
        <w:rPr>
          <w:lang w:val="de-CH"/>
        </w:rPr>
        <w:t>Nachteilsausgleich für Menschen mit Behinderung in der Berufsbildung</w:t>
      </w:r>
      <w:r w:rsidR="00EC3673">
        <w:rPr>
          <w:lang w:val="de-CH"/>
        </w:rPr>
        <w:t> »</w:t>
      </w:r>
      <w:r w:rsidRPr="00937891">
        <w:rPr>
          <w:lang w:val="de-CH"/>
        </w:rPr>
        <w:t xml:space="preserve"> ist ein Projektbericht</w:t>
      </w:r>
      <w:r w:rsidR="00FC2D36" w:rsidRPr="00937891">
        <w:rPr>
          <w:lang w:val="de-CH"/>
        </w:rPr>
        <w:t xml:space="preserve">. </w:t>
      </w:r>
      <w:r w:rsidR="00943AF2" w:rsidRPr="00937891">
        <w:rPr>
          <w:lang w:val="de-CH"/>
        </w:rPr>
        <w:t>Er</w:t>
      </w:r>
      <w:r w:rsidR="00FC2D36" w:rsidRPr="00937891">
        <w:rPr>
          <w:lang w:val="de-CH"/>
        </w:rPr>
        <w:t xml:space="preserve"> fasst die </w:t>
      </w:r>
      <w:r w:rsidR="0045721C" w:rsidRPr="00937891">
        <w:rPr>
          <w:lang w:val="de-CH"/>
        </w:rPr>
        <w:t>gesammelten</w:t>
      </w:r>
      <w:r w:rsidR="00FC2D36" w:rsidRPr="00937891">
        <w:rPr>
          <w:lang w:val="de-CH"/>
        </w:rPr>
        <w:t xml:space="preserve"> Informationen zuhanden der verschiedenen Zielgruppen zusammen und soll </w:t>
      </w:r>
      <w:r w:rsidR="004C1A8A" w:rsidRPr="00937891">
        <w:rPr>
          <w:lang w:val="de-CH"/>
        </w:rPr>
        <w:t>den vielen Fachpersonen</w:t>
      </w:r>
      <w:r w:rsidR="00943AF2" w:rsidRPr="00937891">
        <w:rPr>
          <w:lang w:val="de-CH"/>
        </w:rPr>
        <w:t>/</w:t>
      </w:r>
      <w:r w:rsidR="004C1A8A" w:rsidRPr="00937891">
        <w:rPr>
          <w:lang w:val="de-CH"/>
        </w:rPr>
        <w:t xml:space="preserve">Fachstellen, die </w:t>
      </w:r>
      <w:r w:rsidR="00FC2D36" w:rsidRPr="00937891">
        <w:rPr>
          <w:lang w:val="de-CH"/>
        </w:rPr>
        <w:t xml:space="preserve">sich mit der </w:t>
      </w:r>
      <w:r w:rsidR="004C1A8A" w:rsidRPr="00937891">
        <w:rPr>
          <w:lang w:val="de-CH"/>
        </w:rPr>
        <w:t>konkreten Umsetzung</w:t>
      </w:r>
      <w:r w:rsidR="00FC2D36" w:rsidRPr="00937891">
        <w:rPr>
          <w:lang w:val="de-CH"/>
        </w:rPr>
        <w:t xml:space="preserve"> von Nachteilsausgleichs</w:t>
      </w:r>
      <w:r w:rsidR="00943AF2" w:rsidRPr="00937891">
        <w:rPr>
          <w:lang w:val="de-CH"/>
        </w:rPr>
        <w:t>massnahmen</w:t>
      </w:r>
      <w:r w:rsidR="00FC2D36" w:rsidRPr="00937891">
        <w:rPr>
          <w:lang w:val="de-CH"/>
        </w:rPr>
        <w:t xml:space="preserve"> beschäftigen, als </w:t>
      </w:r>
      <w:r w:rsidR="004C1A8A" w:rsidRPr="00937891">
        <w:rPr>
          <w:lang w:val="de-CH"/>
        </w:rPr>
        <w:t xml:space="preserve">Arbeitsgrundlage </w:t>
      </w:r>
      <w:r w:rsidR="00FC2D36" w:rsidRPr="00937891">
        <w:rPr>
          <w:lang w:val="de-CH"/>
        </w:rPr>
        <w:t>dienen</w:t>
      </w:r>
      <w:r w:rsidR="004C1A8A" w:rsidRPr="00937891">
        <w:rPr>
          <w:lang w:val="de-CH"/>
        </w:rPr>
        <w:t xml:space="preserve">. Es ist nun </w:t>
      </w:r>
      <w:r w:rsidR="00FC2D36" w:rsidRPr="00937891">
        <w:rPr>
          <w:lang w:val="de-CH"/>
        </w:rPr>
        <w:t>Aufgabe</w:t>
      </w:r>
      <w:r w:rsidR="004C1A8A" w:rsidRPr="00937891">
        <w:rPr>
          <w:lang w:val="de-CH"/>
        </w:rPr>
        <w:t xml:space="preserve"> der zuständigen Personen, Institutionen und Behörden, mit entsprechenden Verordnungen, Richtlinien und Empfehlungen Verbindlichkeit herzustellen.</w:t>
      </w:r>
    </w:p>
    <w:p w:rsidR="00966744" w:rsidRPr="00937891" w:rsidRDefault="00966744" w:rsidP="0045721C">
      <w:pPr>
        <w:pStyle w:val="LauftextBlocksatzmitTrennung"/>
        <w:spacing w:after="120"/>
        <w:rPr>
          <w:lang w:val="de-CH"/>
        </w:rPr>
      </w:pPr>
      <w:r w:rsidRPr="00937891">
        <w:rPr>
          <w:lang w:val="de-CH"/>
        </w:rPr>
        <w:t xml:space="preserve">Der Bericht richtet sich vor allem an die folgenden Zielgruppen: </w:t>
      </w:r>
    </w:p>
    <w:p w:rsidR="00966744"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Menschen mit Behinderunge</w:t>
      </w:r>
      <w:r w:rsidR="00943AF2" w:rsidRPr="00937891">
        <w:rPr>
          <w:rFonts w:eastAsia="Times New Roman"/>
          <w:spacing w:val="10"/>
          <w:sz w:val="20"/>
          <w:szCs w:val="20"/>
          <w:lang w:eastAsia="de-DE"/>
        </w:rPr>
        <w:t xml:space="preserve">n, </w:t>
      </w:r>
      <w:r w:rsidRPr="00937891">
        <w:rPr>
          <w:rFonts w:eastAsia="Times New Roman"/>
          <w:spacing w:val="10"/>
          <w:sz w:val="20"/>
          <w:szCs w:val="20"/>
          <w:lang w:eastAsia="de-DE"/>
        </w:rPr>
        <w:t xml:space="preserve">Fachstellen der Behinderten-Organisationen </w:t>
      </w:r>
    </w:p>
    <w:p w:rsidR="00966744"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Lehrpersonen an den Schulen der Sekundarstufe 1, an heil-/sonderpädago</w:t>
      </w:r>
      <w:r w:rsidRPr="00937891">
        <w:rPr>
          <w:rFonts w:eastAsia="Times New Roman"/>
          <w:spacing w:val="10"/>
          <w:sz w:val="20"/>
          <w:szCs w:val="20"/>
          <w:lang w:eastAsia="de-DE"/>
        </w:rPr>
        <w:softHyphen/>
        <w:t xml:space="preserve">gischen Schulen, Berufsberater/innen, Berufsberater/innen der IV </w:t>
      </w:r>
    </w:p>
    <w:p w:rsidR="00966744"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Lehrbetriebe: Berufsbildner/innen, Personalabteilung, Führungskräfte</w:t>
      </w:r>
    </w:p>
    <w:p w:rsidR="00966744"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 xml:space="preserve">Lehrpersonen an Berufsfachschulen, Berufsmaturitätsschulen und </w:t>
      </w:r>
      <w:r w:rsidRPr="00937891">
        <w:rPr>
          <w:rFonts w:eastAsia="Times New Roman"/>
          <w:spacing w:val="10"/>
          <w:sz w:val="20"/>
          <w:szCs w:val="20"/>
          <w:lang w:eastAsia="de-DE"/>
        </w:rPr>
        <w:br/>
        <w:t>Kursleitende in überbetrieblichen Kursen</w:t>
      </w:r>
    </w:p>
    <w:p w:rsidR="00966744"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Prüfungsverantwortliche und Prüfungsexperten/-expertinnen</w:t>
      </w:r>
    </w:p>
    <w:p w:rsidR="00966744"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 xml:space="preserve">zuständige Personen </w:t>
      </w:r>
      <w:r w:rsidR="00943AF2" w:rsidRPr="00937891">
        <w:rPr>
          <w:rFonts w:eastAsia="Times New Roman"/>
          <w:spacing w:val="10"/>
          <w:sz w:val="20"/>
          <w:szCs w:val="20"/>
          <w:lang w:eastAsia="de-DE"/>
        </w:rPr>
        <w:t xml:space="preserve">bei kantonalen/eidgenössischen Ämtern und Stellen, die </w:t>
      </w:r>
      <w:r w:rsidRPr="00937891">
        <w:rPr>
          <w:rFonts w:eastAsia="Times New Roman"/>
          <w:spacing w:val="10"/>
          <w:sz w:val="20"/>
          <w:szCs w:val="20"/>
          <w:lang w:eastAsia="de-DE"/>
        </w:rPr>
        <w:t>mit Berufsbildung, mit Behinderungen und/oder mit Gleichstellung zu tun haben</w:t>
      </w:r>
    </w:p>
    <w:p w:rsidR="00B4030F" w:rsidRPr="00937891" w:rsidRDefault="00966744" w:rsidP="006D0005">
      <w:pPr>
        <w:pStyle w:val="Listenabsatz"/>
        <w:numPr>
          <w:ilvl w:val="0"/>
          <w:numId w:val="6"/>
        </w:numPr>
        <w:spacing w:after="0" w:line="260" w:lineRule="exact"/>
        <w:ind w:left="1066" w:hanging="357"/>
        <w:contextualSpacing w:val="0"/>
        <w:rPr>
          <w:rFonts w:eastAsia="Times New Roman"/>
          <w:spacing w:val="10"/>
          <w:sz w:val="20"/>
          <w:szCs w:val="20"/>
          <w:lang w:eastAsia="de-DE"/>
        </w:rPr>
      </w:pPr>
      <w:r w:rsidRPr="00937891">
        <w:rPr>
          <w:rFonts w:eastAsia="Times New Roman"/>
          <w:spacing w:val="10"/>
          <w:sz w:val="20"/>
          <w:szCs w:val="20"/>
          <w:lang w:eastAsia="de-DE"/>
        </w:rPr>
        <w:t>Organisationen der Arbeitswelt, Arbeitgeberverbände</w:t>
      </w:r>
      <w:r w:rsidR="000107DB" w:rsidRPr="00937891">
        <w:rPr>
          <w:rFonts w:eastAsia="Times New Roman"/>
          <w:spacing w:val="10"/>
          <w:sz w:val="20"/>
          <w:szCs w:val="20"/>
          <w:lang w:eastAsia="de-DE"/>
        </w:rPr>
        <w:t xml:space="preserve"> usw.</w:t>
      </w:r>
    </w:p>
    <w:p w:rsidR="00943AF2" w:rsidRPr="00937891" w:rsidRDefault="00943AF2" w:rsidP="00943AF2">
      <w:pPr>
        <w:pStyle w:val="Listenabsatz"/>
        <w:spacing w:after="0" w:line="240" w:lineRule="auto"/>
        <w:ind w:left="0"/>
        <w:contextualSpacing w:val="0"/>
        <w:rPr>
          <w:rFonts w:eastAsia="Times New Roman"/>
          <w:spacing w:val="10"/>
          <w:sz w:val="20"/>
          <w:szCs w:val="20"/>
          <w:lang w:eastAsia="de-DE"/>
        </w:rPr>
      </w:pPr>
    </w:p>
    <w:p w:rsidR="00943AF2" w:rsidRPr="00351B5F" w:rsidRDefault="00943AF2" w:rsidP="00943AF2">
      <w:pPr>
        <w:pStyle w:val="Listenabsatz"/>
        <w:spacing w:after="120" w:line="240" w:lineRule="auto"/>
        <w:ind w:left="0"/>
        <w:contextualSpacing w:val="0"/>
        <w:rPr>
          <w:rFonts w:eastAsia="Times New Roman"/>
          <w:b/>
          <w:bCs/>
          <w:spacing w:val="10"/>
          <w:sz w:val="20"/>
          <w:szCs w:val="20"/>
          <w:lang w:eastAsia="de-DE"/>
        </w:rPr>
      </w:pPr>
      <w:r w:rsidRPr="00351B5F">
        <w:rPr>
          <w:rFonts w:eastAsia="Times New Roman"/>
          <w:b/>
          <w:bCs/>
          <w:spacing w:val="10"/>
          <w:sz w:val="20"/>
          <w:szCs w:val="20"/>
          <w:lang w:eastAsia="de-DE"/>
        </w:rPr>
        <w:t>Aufbau des Berichts</w:t>
      </w:r>
    </w:p>
    <w:p w:rsidR="00943AF2" w:rsidRPr="00937891" w:rsidRDefault="00943AF2" w:rsidP="00943AF2">
      <w:pPr>
        <w:pStyle w:val="LauftextBlocksatzmitTrennung"/>
        <w:spacing w:after="120"/>
        <w:rPr>
          <w:lang w:val="de-CH"/>
        </w:rPr>
      </w:pPr>
      <w:r w:rsidRPr="00937891">
        <w:rPr>
          <w:lang w:val="de-CH"/>
        </w:rPr>
        <w:t xml:space="preserve">Der </w:t>
      </w:r>
      <w:r w:rsidRPr="00937891">
        <w:rPr>
          <w:b/>
          <w:lang w:val="de-CH"/>
        </w:rPr>
        <w:t>Teil A</w:t>
      </w:r>
      <w:r w:rsidRPr="00937891">
        <w:rPr>
          <w:lang w:val="de-CH"/>
        </w:rPr>
        <w:t xml:space="preserve"> enthält allgemeine Informationen zum Nachteilsausgleich in der Berufsbildung: Nebst der Definition von verschiedenen wichtigen Begriffen wird das Bewilligungsverfahren skizziert, und es werden Hinweise für die Übernahme von behinderungsbedingten Mehrkosten für Nachteilsausgleichsmassnahmen gegeben. Es folgt ein Überblick über die Gesetzesartikel, auf denen der Nachteils</w:t>
      </w:r>
      <w:r w:rsidRPr="00937891">
        <w:rPr>
          <w:lang w:val="de-CH"/>
        </w:rPr>
        <w:softHyphen/>
        <w:t>ausgleich für Lernende mit Behinderung basiert.</w:t>
      </w:r>
    </w:p>
    <w:p w:rsidR="00943AF2" w:rsidRPr="00937891" w:rsidRDefault="00943AF2" w:rsidP="00943AF2">
      <w:pPr>
        <w:pStyle w:val="Listenabsatz"/>
        <w:spacing w:after="0" w:line="240" w:lineRule="auto"/>
        <w:ind w:left="0"/>
        <w:contextualSpacing w:val="0"/>
        <w:rPr>
          <w:rFonts w:eastAsia="Times New Roman"/>
          <w:spacing w:val="10"/>
          <w:sz w:val="20"/>
          <w:szCs w:val="20"/>
          <w:lang w:eastAsia="de-DE"/>
        </w:rPr>
        <w:sectPr w:rsidR="00943AF2" w:rsidRPr="00937891" w:rsidSect="0031264A">
          <w:footerReference w:type="default" r:id="rId8"/>
          <w:footerReference w:type="first" r:id="rId9"/>
          <w:pgSz w:w="11906" w:h="16838"/>
          <w:pgMar w:top="1418" w:right="1418" w:bottom="567" w:left="1418" w:header="709" w:footer="1421" w:gutter="0"/>
          <w:pgNumType w:start="1"/>
          <w:cols w:space="708"/>
          <w:docGrid w:linePitch="272"/>
        </w:sectPr>
      </w:pPr>
    </w:p>
    <w:p w:rsidR="00640433" w:rsidRPr="00937891" w:rsidRDefault="00966744" w:rsidP="000107DB">
      <w:pPr>
        <w:pStyle w:val="LauftextBlocksatzmitTrennung"/>
        <w:spacing w:after="120"/>
        <w:rPr>
          <w:lang w:val="de-CH"/>
        </w:rPr>
      </w:pPr>
      <w:r w:rsidRPr="00937891">
        <w:rPr>
          <w:lang w:val="de-CH"/>
        </w:rPr>
        <w:lastRenderedPageBreak/>
        <w:t xml:space="preserve">Im </w:t>
      </w:r>
      <w:r w:rsidRPr="00937891">
        <w:rPr>
          <w:b/>
          <w:lang w:val="de-CH"/>
        </w:rPr>
        <w:t xml:space="preserve">Teil </w:t>
      </w:r>
      <w:r w:rsidR="00640433" w:rsidRPr="00937891">
        <w:rPr>
          <w:b/>
          <w:lang w:val="de-CH"/>
        </w:rPr>
        <w:t>B</w:t>
      </w:r>
      <w:r w:rsidRPr="00937891">
        <w:rPr>
          <w:lang w:val="de-CH"/>
        </w:rPr>
        <w:t xml:space="preserve"> geht es dann </w:t>
      </w:r>
      <w:r w:rsidR="000107DB" w:rsidRPr="00937891">
        <w:rPr>
          <w:lang w:val="de-CH"/>
        </w:rPr>
        <w:t xml:space="preserve">um </w:t>
      </w:r>
      <w:r w:rsidR="00640433" w:rsidRPr="00937891">
        <w:rPr>
          <w:lang w:val="de-CH"/>
        </w:rPr>
        <w:t>spezifische Informationen und Vorschläge für entsprechende Nachteilsausgleichsmassnahmen, und zwar zu folgenden Behinderungen</w:t>
      </w:r>
      <w:r w:rsidR="004D7B72" w:rsidRPr="00937891">
        <w:rPr>
          <w:lang w:val="de-CH"/>
        </w:rPr>
        <w:t>/Störungen</w:t>
      </w:r>
      <w:r w:rsidR="00640433" w:rsidRPr="00937891">
        <w:rPr>
          <w:lang w:val="de-CH"/>
        </w:rPr>
        <w:t>:</w:t>
      </w:r>
    </w:p>
    <w:p w:rsidR="00640433" w:rsidRPr="00937891" w:rsidRDefault="00640433" w:rsidP="00966744">
      <w:pPr>
        <w:pStyle w:val="LauftextBlocksatzmitTrennung"/>
        <w:jc w:val="left"/>
        <w:rPr>
          <w:lang w:val="de-CH"/>
        </w:rPr>
      </w:pPr>
      <w:r w:rsidRPr="00937891">
        <w:rPr>
          <w:lang w:val="de-CH"/>
        </w:rPr>
        <w:t xml:space="preserve">B </w:t>
      </w:r>
      <w:r w:rsidR="00966744" w:rsidRPr="00937891">
        <w:rPr>
          <w:lang w:val="de-CH"/>
        </w:rPr>
        <w:t>1</w:t>
      </w:r>
      <w:r w:rsidR="00966744" w:rsidRPr="00937891">
        <w:rPr>
          <w:lang w:val="de-CH"/>
        </w:rPr>
        <w:tab/>
        <w:t>Sehbehinderung und Blindheit</w:t>
      </w:r>
      <w:r w:rsidR="00966744" w:rsidRPr="00937891">
        <w:rPr>
          <w:lang w:val="de-CH"/>
        </w:rPr>
        <w:br/>
      </w:r>
      <w:r w:rsidRPr="00937891">
        <w:rPr>
          <w:lang w:val="de-CH"/>
        </w:rPr>
        <w:t xml:space="preserve">B </w:t>
      </w:r>
      <w:r w:rsidR="00966744" w:rsidRPr="00937891">
        <w:rPr>
          <w:lang w:val="de-CH"/>
        </w:rPr>
        <w:t>2</w:t>
      </w:r>
      <w:r w:rsidR="00966744" w:rsidRPr="00937891">
        <w:rPr>
          <w:lang w:val="de-CH"/>
        </w:rPr>
        <w:tab/>
        <w:t>Hörbehinderung</w:t>
      </w:r>
      <w:r w:rsidR="00966744" w:rsidRPr="00937891">
        <w:rPr>
          <w:lang w:val="de-CH"/>
        </w:rPr>
        <w:br/>
      </w:r>
      <w:r w:rsidRPr="00937891">
        <w:rPr>
          <w:lang w:val="de-CH"/>
        </w:rPr>
        <w:t xml:space="preserve">B </w:t>
      </w:r>
      <w:r w:rsidR="00966744" w:rsidRPr="00937891">
        <w:rPr>
          <w:lang w:val="de-CH"/>
        </w:rPr>
        <w:t>3</w:t>
      </w:r>
      <w:r w:rsidR="00966744" w:rsidRPr="00937891">
        <w:rPr>
          <w:lang w:val="de-CH"/>
        </w:rPr>
        <w:tab/>
        <w:t>Hörsehbehinderung und Taubblindheit</w:t>
      </w:r>
      <w:r w:rsidR="00966744" w:rsidRPr="00937891">
        <w:rPr>
          <w:lang w:val="de-CH"/>
        </w:rPr>
        <w:br/>
      </w:r>
      <w:r w:rsidRPr="00937891">
        <w:rPr>
          <w:lang w:val="de-CH"/>
        </w:rPr>
        <w:t xml:space="preserve">B </w:t>
      </w:r>
      <w:r w:rsidR="00966744" w:rsidRPr="00937891">
        <w:rPr>
          <w:lang w:val="de-CH"/>
        </w:rPr>
        <w:t>4</w:t>
      </w:r>
      <w:r w:rsidR="00966744" w:rsidRPr="00937891">
        <w:rPr>
          <w:lang w:val="de-CH"/>
        </w:rPr>
        <w:tab/>
      </w:r>
      <w:proofErr w:type="spellStart"/>
      <w:r w:rsidR="00966744" w:rsidRPr="00937891">
        <w:rPr>
          <w:lang w:val="de-CH"/>
        </w:rPr>
        <w:t>Dyslexie</w:t>
      </w:r>
      <w:proofErr w:type="spellEnd"/>
      <w:r w:rsidR="00966744" w:rsidRPr="00937891">
        <w:rPr>
          <w:lang w:val="de-CH"/>
        </w:rPr>
        <w:t xml:space="preserve"> (Legasthenie) und Dyskalkulie</w:t>
      </w:r>
      <w:r w:rsidR="00966744" w:rsidRPr="00937891">
        <w:rPr>
          <w:lang w:val="de-CH"/>
        </w:rPr>
        <w:br/>
      </w:r>
      <w:r w:rsidRPr="00937891">
        <w:rPr>
          <w:lang w:val="de-CH"/>
        </w:rPr>
        <w:t xml:space="preserve">B </w:t>
      </w:r>
      <w:r w:rsidR="00966744" w:rsidRPr="00937891">
        <w:rPr>
          <w:lang w:val="de-CH"/>
        </w:rPr>
        <w:t>5</w:t>
      </w:r>
      <w:r w:rsidR="00966744" w:rsidRPr="00937891">
        <w:rPr>
          <w:lang w:val="de-CH"/>
        </w:rPr>
        <w:tab/>
      </w:r>
      <w:proofErr w:type="spellStart"/>
      <w:r w:rsidR="00966744" w:rsidRPr="00937891">
        <w:rPr>
          <w:lang w:val="de-CH"/>
        </w:rPr>
        <w:t>Dyspraxie</w:t>
      </w:r>
      <w:proofErr w:type="spellEnd"/>
      <w:r w:rsidR="00966744" w:rsidRPr="00937891">
        <w:rPr>
          <w:lang w:val="de-CH"/>
        </w:rPr>
        <w:br/>
      </w:r>
      <w:r w:rsidRPr="00937891">
        <w:rPr>
          <w:lang w:val="de-CH"/>
        </w:rPr>
        <w:t xml:space="preserve">B </w:t>
      </w:r>
      <w:r w:rsidR="00966744" w:rsidRPr="00937891">
        <w:rPr>
          <w:lang w:val="de-CH"/>
        </w:rPr>
        <w:t>6</w:t>
      </w:r>
      <w:r w:rsidR="00966744" w:rsidRPr="00937891">
        <w:rPr>
          <w:lang w:val="de-CH"/>
        </w:rPr>
        <w:tab/>
        <w:t>Querschnittlähmung</w:t>
      </w:r>
      <w:r w:rsidR="00966744" w:rsidRPr="00937891">
        <w:rPr>
          <w:lang w:val="de-CH"/>
        </w:rPr>
        <w:br/>
      </w:r>
      <w:r w:rsidRPr="00937891">
        <w:rPr>
          <w:lang w:val="de-CH"/>
        </w:rPr>
        <w:t xml:space="preserve">B </w:t>
      </w:r>
      <w:r w:rsidR="00966744" w:rsidRPr="00937891">
        <w:rPr>
          <w:lang w:val="de-CH"/>
        </w:rPr>
        <w:t>7</w:t>
      </w:r>
      <w:r w:rsidR="00966744" w:rsidRPr="00937891">
        <w:rPr>
          <w:lang w:val="de-CH"/>
        </w:rPr>
        <w:tab/>
        <w:t>Psychische Behinderung</w:t>
      </w:r>
      <w:r w:rsidR="00966744" w:rsidRPr="00937891">
        <w:rPr>
          <w:lang w:val="de-CH"/>
        </w:rPr>
        <w:br/>
      </w:r>
      <w:r w:rsidRPr="00937891">
        <w:rPr>
          <w:lang w:val="de-CH"/>
        </w:rPr>
        <w:t xml:space="preserve">B </w:t>
      </w:r>
      <w:r w:rsidR="00966744" w:rsidRPr="00937891">
        <w:rPr>
          <w:lang w:val="de-CH"/>
        </w:rPr>
        <w:t>8</w:t>
      </w:r>
      <w:r w:rsidR="00966744" w:rsidRPr="00937891">
        <w:rPr>
          <w:lang w:val="de-CH"/>
        </w:rPr>
        <w:tab/>
        <w:t>Autismus-Spektrums-Störung</w:t>
      </w:r>
    </w:p>
    <w:p w:rsidR="00966744" w:rsidRPr="00937891" w:rsidRDefault="00640433" w:rsidP="000107DB">
      <w:pPr>
        <w:pStyle w:val="LauftextBlocksatzmitTrennung"/>
        <w:spacing w:after="120"/>
        <w:jc w:val="left"/>
        <w:rPr>
          <w:lang w:val="de-CH"/>
        </w:rPr>
      </w:pPr>
      <w:r w:rsidRPr="00937891">
        <w:rPr>
          <w:lang w:val="de-CH"/>
        </w:rPr>
        <w:t xml:space="preserve">B </w:t>
      </w:r>
      <w:r w:rsidR="00966744" w:rsidRPr="00937891">
        <w:rPr>
          <w:lang w:val="de-CH"/>
        </w:rPr>
        <w:t>9</w:t>
      </w:r>
      <w:r w:rsidR="00966744" w:rsidRPr="00937891">
        <w:rPr>
          <w:lang w:val="de-CH"/>
        </w:rPr>
        <w:tab/>
        <w:t>Geistige Behinderung / kognitive Beeinträchtigung</w:t>
      </w:r>
      <w:r w:rsidR="00966744" w:rsidRPr="00937891">
        <w:rPr>
          <w:lang w:val="de-CH"/>
        </w:rPr>
        <w:br/>
      </w:r>
      <w:r w:rsidRPr="00937891">
        <w:rPr>
          <w:lang w:val="de-CH"/>
        </w:rPr>
        <w:t xml:space="preserve">B </w:t>
      </w:r>
      <w:r w:rsidR="00966744" w:rsidRPr="00937891">
        <w:rPr>
          <w:lang w:val="de-CH"/>
        </w:rPr>
        <w:t xml:space="preserve">10 </w:t>
      </w:r>
      <w:r w:rsidR="00966744" w:rsidRPr="00937891">
        <w:rPr>
          <w:lang w:val="de-CH"/>
        </w:rPr>
        <w:tab/>
        <w:t>Aufmerksamkeits-Defizit-(Hyperaktivitäts-)Störung</w:t>
      </w:r>
      <w:r w:rsidR="004D7B72" w:rsidRPr="00937891">
        <w:rPr>
          <w:lang w:val="de-CH"/>
        </w:rPr>
        <w:t xml:space="preserve"> </w:t>
      </w:r>
      <w:r w:rsidR="00966744" w:rsidRPr="00937891">
        <w:rPr>
          <w:lang w:val="de-CH"/>
        </w:rPr>
        <w:t>ADHS</w:t>
      </w:r>
    </w:p>
    <w:p w:rsidR="00966744" w:rsidRPr="00937891" w:rsidRDefault="00966744" w:rsidP="00966744">
      <w:pPr>
        <w:pStyle w:val="LauftextBlocksatzmitTrennung"/>
        <w:rPr>
          <w:lang w:val="de-CH"/>
        </w:rPr>
      </w:pPr>
      <w:r w:rsidRPr="00937891">
        <w:rPr>
          <w:lang w:val="de-CH"/>
        </w:rPr>
        <w:t>In jedem dieser Kapitel werden zuerst die behinderungstypischen Beeinträchtigungen umschrieben, dann folgen Vorschläge für geeignete Massnahmen des Nachteilsausgleichs und praktische Beispiele. Ergänzt werden die Kapitel jeweils mit der Angabe einer Kompetenzstelle, welche spezifische Beratungen zum Nachteilsausgleich für Menschen mit der betreffenden Behinderung anbietet oder vermittelt.</w:t>
      </w:r>
    </w:p>
    <w:p w:rsidR="00966744" w:rsidRPr="00937891" w:rsidRDefault="004D7B72" w:rsidP="00966744">
      <w:pPr>
        <w:spacing w:before="120" w:line="240" w:lineRule="auto"/>
        <w:rPr>
          <w:rFonts w:cs="Arial"/>
          <w:u w:color="0D0D0D"/>
        </w:rPr>
      </w:pPr>
      <w:r w:rsidRPr="00937891">
        <w:rPr>
          <w:rFonts w:cs="Arial"/>
          <w:u w:color="0D0D0D"/>
        </w:rPr>
        <w:t xml:space="preserve">Der </w:t>
      </w:r>
      <w:r w:rsidR="00966744" w:rsidRPr="00937891">
        <w:rPr>
          <w:rFonts w:cs="Arial"/>
          <w:b/>
          <w:u w:color="0D0D0D"/>
        </w:rPr>
        <w:t>Anhang</w:t>
      </w:r>
      <w:r w:rsidRPr="00937891">
        <w:rPr>
          <w:rFonts w:cs="Arial"/>
          <w:b/>
          <w:u w:color="0D0D0D"/>
        </w:rPr>
        <w:t xml:space="preserve"> </w:t>
      </w:r>
      <w:r w:rsidRPr="00937891">
        <w:rPr>
          <w:rFonts w:cs="Arial"/>
          <w:u w:color="0D0D0D"/>
        </w:rPr>
        <w:t xml:space="preserve">enthält die </w:t>
      </w:r>
      <w:proofErr w:type="spellStart"/>
      <w:r w:rsidRPr="00937891">
        <w:rPr>
          <w:rFonts w:cs="Arial"/>
          <w:u w:color="0D0D0D"/>
        </w:rPr>
        <w:t>massgebenden</w:t>
      </w:r>
      <w:proofErr w:type="spellEnd"/>
      <w:r w:rsidR="00966744" w:rsidRPr="00937891">
        <w:rPr>
          <w:rFonts w:cs="Arial"/>
          <w:u w:color="0D0D0D"/>
        </w:rPr>
        <w:t xml:space="preserve"> Gesetzesartikel im Wortlaut</w:t>
      </w:r>
      <w:r w:rsidRPr="00937891">
        <w:rPr>
          <w:rFonts w:cs="Arial"/>
          <w:u w:color="0D0D0D"/>
        </w:rPr>
        <w:t>.</w:t>
      </w:r>
    </w:p>
    <w:p w:rsidR="00966744" w:rsidRPr="00937891" w:rsidRDefault="00966744" w:rsidP="00833829">
      <w:pPr>
        <w:spacing w:line="260" w:lineRule="exact"/>
        <w:rPr>
          <w:noProof/>
        </w:rPr>
      </w:pPr>
    </w:p>
    <w:p w:rsidR="00C16601" w:rsidRPr="00937891" w:rsidRDefault="00C16601" w:rsidP="00351B5F">
      <w:pPr>
        <w:pStyle w:val="Untertitellinksbndig"/>
        <w:rPr>
          <w:b w:val="0"/>
        </w:rPr>
      </w:pPr>
      <w:r w:rsidRPr="00351B5F">
        <w:t>Kurztext</w:t>
      </w:r>
    </w:p>
    <w:p w:rsidR="00C16601" w:rsidRPr="00937891" w:rsidRDefault="00C16601" w:rsidP="00C16601">
      <w:pPr>
        <w:spacing w:line="260" w:lineRule="exact"/>
        <w:rPr>
          <w:lang w:val="de-CH"/>
        </w:rPr>
      </w:pPr>
      <w:r w:rsidRPr="00937891">
        <w:rPr>
          <w:lang w:val="de-CH"/>
        </w:rPr>
        <w:t>Der Pro</w:t>
      </w:r>
      <w:r w:rsidR="00464F51">
        <w:rPr>
          <w:lang w:val="de-CH"/>
        </w:rPr>
        <w:t xml:space="preserve">jektbericht </w:t>
      </w:r>
      <w:r w:rsidR="00EC3673">
        <w:rPr>
          <w:lang w:val="de-CH"/>
        </w:rPr>
        <w:t>« </w:t>
      </w:r>
      <w:r w:rsidR="00464F51">
        <w:rPr>
          <w:lang w:val="de-CH"/>
        </w:rPr>
        <w:t xml:space="preserve">Nachteilsausgleich für Menschen mit Behinderung in der </w:t>
      </w:r>
      <w:r w:rsidRPr="00937891">
        <w:rPr>
          <w:lang w:val="de-CH"/>
        </w:rPr>
        <w:t>Berufsbildung</w:t>
      </w:r>
      <w:bookmarkStart w:id="0" w:name="_GoBack"/>
      <w:r w:rsidR="00EC3673">
        <w:rPr>
          <w:lang w:val="de-CH"/>
        </w:rPr>
        <w:t> »</w:t>
      </w:r>
      <w:bookmarkEnd w:id="0"/>
      <w:r w:rsidRPr="00937891">
        <w:rPr>
          <w:lang w:val="de-CH"/>
        </w:rPr>
        <w:t xml:space="preserve"> ist eine wichtige Arbeitsgrundlage für Fachpersonen und Fachstellen, die sich mit der Umsetzung von Nachteilsausgleichsmassnahmen im Ausbildungsprozess und bei den Qualifikationsverfahren befassen. Die Publikation enthält – neben wichtigen allgemeinen Informationen – eine Reihe von konkreten Vorschlägen, wie Nachteilsausgleichsmassnahmen für zehn </w:t>
      </w:r>
      <w:r w:rsidRPr="00937891">
        <w:t>verschiedene</w:t>
      </w:r>
      <w:r w:rsidRPr="00937891">
        <w:rPr>
          <w:lang w:val="de-CH"/>
        </w:rPr>
        <w:t xml:space="preserve"> Behinderungsformen gestaltet werden könnten. </w:t>
      </w:r>
    </w:p>
    <w:p w:rsidR="00C16601" w:rsidRPr="00937891" w:rsidRDefault="00C16601" w:rsidP="00833829">
      <w:pPr>
        <w:pStyle w:val="LauftextBlocksatzmitTrennung"/>
        <w:rPr>
          <w:lang w:val="de-CH"/>
        </w:rPr>
      </w:pPr>
    </w:p>
    <w:p w:rsidR="00C16601" w:rsidRPr="00937891" w:rsidRDefault="00C16601" w:rsidP="00351B5F">
      <w:pPr>
        <w:pStyle w:val="Untertitellinksbndig"/>
        <w:rPr>
          <w:b w:val="0"/>
        </w:rPr>
      </w:pPr>
      <w:proofErr w:type="spellStart"/>
      <w:r w:rsidRPr="00351B5F">
        <w:t>eBook</w:t>
      </w:r>
      <w:proofErr w:type="spellEnd"/>
    </w:p>
    <w:p w:rsidR="00C16601" w:rsidRPr="00937891" w:rsidRDefault="00C16601" w:rsidP="00C16601">
      <w:pPr>
        <w:pStyle w:val="LauftextBlocksatzmitTrennung"/>
        <w:rPr>
          <w:lang w:val="de-CH"/>
        </w:rPr>
      </w:pPr>
      <w:r w:rsidRPr="00937891">
        <w:rPr>
          <w:lang w:val="de-CH"/>
        </w:rPr>
        <w:t xml:space="preserve">Im Kaufpreis des dreisprachigen Berichts ist eine Einzellizenz für die Benutzung der </w:t>
      </w:r>
      <w:proofErr w:type="spellStart"/>
      <w:r w:rsidRPr="00937891">
        <w:rPr>
          <w:lang w:val="de-CH"/>
        </w:rPr>
        <w:t>eBook</w:t>
      </w:r>
      <w:proofErr w:type="spellEnd"/>
      <w:r w:rsidRPr="00937891">
        <w:rPr>
          <w:lang w:val="de-CH"/>
        </w:rPr>
        <w:t xml:space="preserve">-Version inbegriffen. Es handelt sich dabei um ein barrierefreies PDF, das für alle mobilen Ausgabegeräte geeignet und auch für Menschen mit Sehbehinderung gut zugänglich ist. </w:t>
      </w:r>
    </w:p>
    <w:p w:rsidR="009C0E10" w:rsidRPr="00937891" w:rsidRDefault="009C0E10" w:rsidP="00833829">
      <w:pPr>
        <w:pStyle w:val="LauftextBlocksatzmitTrennung"/>
        <w:rPr>
          <w:lang w:val="de-CH"/>
        </w:rPr>
      </w:pPr>
    </w:p>
    <w:p w:rsidR="00C7120A" w:rsidRPr="00937891" w:rsidRDefault="00C7120A" w:rsidP="00833829">
      <w:pPr>
        <w:pStyle w:val="Untertitellinksbndig"/>
      </w:pPr>
      <w:r w:rsidRPr="00937891">
        <w:t>Bibliografische Angaben</w:t>
      </w:r>
    </w:p>
    <w:p w:rsidR="00464F51" w:rsidRDefault="00C7120A" w:rsidP="00464F51">
      <w:pPr>
        <w:spacing w:line="260" w:lineRule="exact"/>
        <w:jc w:val="both"/>
        <w:rPr>
          <w:i/>
        </w:rPr>
      </w:pPr>
      <w:r w:rsidRPr="00937891">
        <w:t>SDBB</w:t>
      </w:r>
      <w:r w:rsidR="004C1A8A" w:rsidRPr="00937891">
        <w:t>.</w:t>
      </w:r>
      <w:r w:rsidRPr="00937891">
        <w:t xml:space="preserve"> </w:t>
      </w:r>
      <w:r w:rsidR="00464F51">
        <w:rPr>
          <w:i/>
        </w:rPr>
        <w:t xml:space="preserve">Nachteilsausgleich </w:t>
      </w:r>
      <w:r w:rsidR="004C1A8A" w:rsidRPr="00937891">
        <w:rPr>
          <w:i/>
        </w:rPr>
        <w:t>für</w:t>
      </w:r>
      <w:r w:rsidR="00464F51">
        <w:rPr>
          <w:i/>
        </w:rPr>
        <w:t xml:space="preserve"> Menschen mit</w:t>
      </w:r>
      <w:r w:rsidR="004C1A8A" w:rsidRPr="00937891">
        <w:rPr>
          <w:i/>
        </w:rPr>
        <w:t xml:space="preserve"> Behinderung in der</w:t>
      </w:r>
      <w:r w:rsidR="00464F51">
        <w:rPr>
          <w:i/>
        </w:rPr>
        <w:t xml:space="preserve"> Berufsbildung:</w:t>
      </w:r>
    </w:p>
    <w:p w:rsidR="00C7120A" w:rsidRPr="00464F51" w:rsidRDefault="004C1A8A" w:rsidP="00464F51">
      <w:pPr>
        <w:spacing w:line="260" w:lineRule="exact"/>
        <w:jc w:val="both"/>
        <w:rPr>
          <w:i/>
        </w:rPr>
      </w:pPr>
      <w:r w:rsidRPr="00937891">
        <w:rPr>
          <w:i/>
        </w:rPr>
        <w:t xml:space="preserve">Bericht </w:t>
      </w:r>
      <w:r w:rsidRPr="00937891">
        <w:t>(dreisprachige Ausgabe d, f, i).</w:t>
      </w:r>
      <w:r w:rsidR="00C7120A" w:rsidRPr="00937891">
        <w:t xml:space="preserve"> Bern: SDBB Verlag, 201</w:t>
      </w:r>
      <w:r w:rsidRPr="00937891">
        <w:t>3</w:t>
      </w:r>
      <w:r w:rsidR="00C7120A" w:rsidRPr="00937891">
        <w:t>.</w:t>
      </w:r>
    </w:p>
    <w:p w:rsidR="00C7120A" w:rsidRPr="00937891" w:rsidRDefault="00C7120A" w:rsidP="00833829">
      <w:pPr>
        <w:spacing w:line="260" w:lineRule="exact"/>
      </w:pPr>
      <w:r w:rsidRPr="00937891">
        <w:t>ISBN 978-3-03753-</w:t>
      </w:r>
      <w:r w:rsidR="004C1A8A" w:rsidRPr="00937891">
        <w:t>105</w:t>
      </w:r>
      <w:r w:rsidRPr="00937891">
        <w:t>-</w:t>
      </w:r>
      <w:r w:rsidR="004C1A8A" w:rsidRPr="00937891">
        <w:t>1</w:t>
      </w:r>
      <w:r w:rsidRPr="00937891">
        <w:t>.</w:t>
      </w:r>
    </w:p>
    <w:p w:rsidR="00C7120A" w:rsidRPr="00937891" w:rsidRDefault="00C7120A" w:rsidP="00833829">
      <w:pPr>
        <w:spacing w:line="260" w:lineRule="exact"/>
      </w:pPr>
      <w:r w:rsidRPr="00937891">
        <w:t xml:space="preserve">CHF </w:t>
      </w:r>
      <w:r w:rsidR="004C1A8A" w:rsidRPr="00937891">
        <w:t>2</w:t>
      </w:r>
      <w:r w:rsidRPr="00937891">
        <w:t>5.00, inklusiv</w:t>
      </w:r>
      <w:r w:rsidR="004C1A8A" w:rsidRPr="00937891">
        <w:t xml:space="preserve">e </w:t>
      </w:r>
      <w:r w:rsidR="00083735" w:rsidRPr="00937891">
        <w:t xml:space="preserve">Einzellizenz für die Benutzung des </w:t>
      </w:r>
      <w:proofErr w:type="spellStart"/>
      <w:r w:rsidR="004C1A8A" w:rsidRPr="00937891">
        <w:rPr>
          <w:rFonts w:cs="Arial"/>
        </w:rPr>
        <w:t>eBook</w:t>
      </w:r>
      <w:r w:rsidR="00083735" w:rsidRPr="00937891">
        <w:rPr>
          <w:rFonts w:cs="Arial"/>
        </w:rPr>
        <w:t>s</w:t>
      </w:r>
      <w:proofErr w:type="spellEnd"/>
      <w:r w:rsidR="00083735" w:rsidRPr="00937891">
        <w:rPr>
          <w:rFonts w:cs="Arial"/>
        </w:rPr>
        <w:t xml:space="preserve"> (barrierefreies PDF).</w:t>
      </w:r>
    </w:p>
    <w:p w:rsidR="00C7120A" w:rsidRPr="00937891" w:rsidRDefault="00C7120A" w:rsidP="00833829">
      <w:pPr>
        <w:spacing w:line="260" w:lineRule="exact"/>
      </w:pPr>
    </w:p>
    <w:p w:rsidR="00C7120A" w:rsidRPr="00937891" w:rsidRDefault="00C7120A" w:rsidP="00833829">
      <w:pPr>
        <w:pStyle w:val="Untertitellinksbndig"/>
      </w:pPr>
      <w:r w:rsidRPr="00937891">
        <w:t>Bezugsquelle</w:t>
      </w:r>
    </w:p>
    <w:p w:rsidR="00C7120A" w:rsidRPr="00937891" w:rsidRDefault="00B16D8A" w:rsidP="00833829">
      <w:pPr>
        <w:pStyle w:val="LauftextBlocksatzmitTrennung"/>
        <w:rPr>
          <w:lang w:val="de-CH"/>
        </w:rPr>
      </w:pPr>
      <w:r w:rsidRPr="00937891">
        <w:t xml:space="preserve">SDBB Vertrieb, </w:t>
      </w:r>
      <w:proofErr w:type="spellStart"/>
      <w:r w:rsidRPr="00937891">
        <w:rPr>
          <w:rFonts w:cs="Arial"/>
        </w:rPr>
        <w:t>Industriestrasse</w:t>
      </w:r>
      <w:proofErr w:type="spellEnd"/>
      <w:r w:rsidRPr="00937891">
        <w:rPr>
          <w:rFonts w:cs="Arial"/>
        </w:rPr>
        <w:t xml:space="preserve"> 1</w:t>
      </w:r>
      <w:r w:rsidRPr="00937891">
        <w:t>,</w:t>
      </w:r>
      <w:r w:rsidRPr="00937891">
        <w:rPr>
          <w:rFonts w:cs="Arial"/>
        </w:rPr>
        <w:t xml:space="preserve"> 3052 Zollikofen</w:t>
      </w:r>
      <w:r w:rsidRPr="00937891">
        <w:t xml:space="preserve">, </w:t>
      </w:r>
      <w:r w:rsidR="00C7120A" w:rsidRPr="00937891">
        <w:t>Tel.</w:t>
      </w:r>
      <w:r w:rsidR="00C7120A" w:rsidRPr="00937891">
        <w:rPr>
          <w:lang w:val="de-CH"/>
        </w:rPr>
        <w:t xml:space="preserve"> 0848 999 001, Fax</w:t>
      </w:r>
      <w:r w:rsidRPr="00937891">
        <w:rPr>
          <w:lang w:val="de-CH"/>
        </w:rPr>
        <w:t xml:space="preserve"> </w:t>
      </w:r>
      <w:r w:rsidRPr="00937891">
        <w:rPr>
          <w:rFonts w:cs="Arial"/>
        </w:rPr>
        <w:t>031 320 29 38</w:t>
      </w:r>
      <w:r w:rsidRPr="00937891">
        <w:rPr>
          <w:lang w:val="de-CH"/>
        </w:rPr>
        <w:t xml:space="preserve">, </w:t>
      </w:r>
      <w:r w:rsidR="00C7120A" w:rsidRPr="00937891">
        <w:rPr>
          <w:lang w:val="de-CH"/>
        </w:rPr>
        <w:t>vertrieb@sdbb.ch, www.shop.sdbb.ch</w:t>
      </w:r>
    </w:p>
    <w:p w:rsidR="000E257E" w:rsidRDefault="000E257E" w:rsidP="00833829">
      <w:pPr>
        <w:pStyle w:val="Ausgabedatum"/>
      </w:pPr>
      <w:r w:rsidRPr="000E257E">
        <w:t xml:space="preserve">Ausgabe </w:t>
      </w:r>
      <w:r w:rsidR="00C7120A">
        <w:t>0</w:t>
      </w:r>
      <w:r w:rsidR="004C1A8A">
        <w:t>8</w:t>
      </w:r>
      <w:r w:rsidRPr="000E257E">
        <w:t>.</w:t>
      </w:r>
      <w:r w:rsidR="00B16D8A">
        <w:t>201</w:t>
      </w:r>
      <w:r w:rsidR="004C1A8A">
        <w:t>3</w:t>
      </w:r>
    </w:p>
    <w:p w:rsidR="00FF6890" w:rsidRPr="000E257E" w:rsidRDefault="00F74FA8" w:rsidP="00833829">
      <w:pPr>
        <w:pStyle w:val="Ausgabedatum"/>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17.6pt;width:453.75pt;height:82.5pt;z-index:251659264;mso-position-horizontal-relative:text;mso-position-vertical-relative:text;mso-width-relative:page;mso-height-relative:page">
            <v:imagedata r:id="rId10" o:title="SDBB_adressblock_D_16"/>
          </v:shape>
        </w:pict>
      </w:r>
      <w:r w:rsidR="00FF6890">
        <w:t>Infocorner: www.info.berufsbildung.ch</w:t>
      </w:r>
    </w:p>
    <w:sectPr w:rsidR="00FF6890" w:rsidRPr="000E257E" w:rsidSect="00B4030F">
      <w:footerReference w:type="default" r:id="rId11"/>
      <w:pgSz w:w="11906" w:h="16838" w:code="9"/>
      <w:pgMar w:top="1134" w:right="1418" w:bottom="907" w:left="1418" w:header="709"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B3" w:rsidRDefault="007E51B3">
      <w:r>
        <w:separator/>
      </w:r>
    </w:p>
  </w:endnote>
  <w:endnote w:type="continuationSeparator" w:id="0">
    <w:p w:rsidR="007E51B3" w:rsidRDefault="007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1" w:rsidRDefault="00D05408">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511935" cy="369570"/>
          <wp:effectExtent l="0" t="0" r="0" b="0"/>
          <wp:wrapNone/>
          <wp:docPr id="9" name="Bild 9" descr="SDBB_Verlag_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BB_Verlag_4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3695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D1" w:rsidRPr="00344DF3" w:rsidRDefault="008672D1">
    <w:pPr>
      <w:rPr>
        <w:rFonts w:cs="Arial"/>
        <w:lang w:val="de-CH"/>
      </w:rPr>
    </w:pPr>
  </w:p>
  <w:p w:rsidR="008672D1" w:rsidRPr="00344DF3" w:rsidRDefault="008672D1">
    <w:pPr>
      <w:rPr>
        <w:rFonts w:cs="Arial"/>
        <w:lang w:val="de-CH"/>
      </w:rPr>
    </w:pPr>
    <w:r w:rsidRPr="00344DF3">
      <w:rPr>
        <w:rFonts w:cs="Arial"/>
        <w:lang w:val="de-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DB" w:rsidRDefault="00D05408">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9813290</wp:posOffset>
          </wp:positionV>
          <wp:extent cx="5384800" cy="381000"/>
          <wp:effectExtent l="0" t="0" r="0" b="0"/>
          <wp:wrapNone/>
          <wp:docPr id="8" name="Bild 8"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B3" w:rsidRDefault="007E51B3">
      <w:r>
        <w:separator/>
      </w:r>
    </w:p>
  </w:footnote>
  <w:footnote w:type="continuationSeparator" w:id="0">
    <w:p w:rsidR="007E51B3" w:rsidRDefault="007E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00"/>
    <w:multiLevelType w:val="multilevel"/>
    <w:tmpl w:val="86B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B0C78"/>
    <w:multiLevelType w:val="hybridMultilevel"/>
    <w:tmpl w:val="D1484F7C"/>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44FE1"/>
    <w:multiLevelType w:val="hybridMultilevel"/>
    <w:tmpl w:val="3B6C009C"/>
    <w:lvl w:ilvl="0" w:tplc="75C46064">
      <w:start w:val="4"/>
      <w:numFmt w:val="bullet"/>
      <w:lvlText w:val=""/>
      <w:lvlJc w:val="left"/>
      <w:pPr>
        <w:ind w:left="1426" w:hanging="360"/>
      </w:pPr>
      <w:rPr>
        <w:rFonts w:ascii="Wingdings" w:eastAsia="Calibri" w:hAnsi="Wingdings" w:cs="Times New Roman" w:hint="default"/>
      </w:rPr>
    </w:lvl>
    <w:lvl w:ilvl="1" w:tplc="08070003" w:tentative="1">
      <w:start w:val="1"/>
      <w:numFmt w:val="bullet"/>
      <w:lvlText w:val="o"/>
      <w:lvlJc w:val="left"/>
      <w:pPr>
        <w:ind w:left="2146" w:hanging="360"/>
      </w:pPr>
      <w:rPr>
        <w:rFonts w:ascii="Courier New" w:hAnsi="Courier New" w:cs="Courier New" w:hint="default"/>
      </w:rPr>
    </w:lvl>
    <w:lvl w:ilvl="2" w:tplc="08070005" w:tentative="1">
      <w:start w:val="1"/>
      <w:numFmt w:val="bullet"/>
      <w:lvlText w:val=""/>
      <w:lvlJc w:val="left"/>
      <w:pPr>
        <w:ind w:left="2866" w:hanging="360"/>
      </w:pPr>
      <w:rPr>
        <w:rFonts w:ascii="Wingdings" w:hAnsi="Wingdings" w:hint="default"/>
      </w:rPr>
    </w:lvl>
    <w:lvl w:ilvl="3" w:tplc="08070001" w:tentative="1">
      <w:start w:val="1"/>
      <w:numFmt w:val="bullet"/>
      <w:lvlText w:val=""/>
      <w:lvlJc w:val="left"/>
      <w:pPr>
        <w:ind w:left="3586" w:hanging="360"/>
      </w:pPr>
      <w:rPr>
        <w:rFonts w:ascii="Symbol" w:hAnsi="Symbol" w:hint="default"/>
      </w:rPr>
    </w:lvl>
    <w:lvl w:ilvl="4" w:tplc="08070003" w:tentative="1">
      <w:start w:val="1"/>
      <w:numFmt w:val="bullet"/>
      <w:lvlText w:val="o"/>
      <w:lvlJc w:val="left"/>
      <w:pPr>
        <w:ind w:left="4306" w:hanging="360"/>
      </w:pPr>
      <w:rPr>
        <w:rFonts w:ascii="Courier New" w:hAnsi="Courier New" w:cs="Courier New" w:hint="default"/>
      </w:rPr>
    </w:lvl>
    <w:lvl w:ilvl="5" w:tplc="08070005" w:tentative="1">
      <w:start w:val="1"/>
      <w:numFmt w:val="bullet"/>
      <w:lvlText w:val=""/>
      <w:lvlJc w:val="left"/>
      <w:pPr>
        <w:ind w:left="5026" w:hanging="360"/>
      </w:pPr>
      <w:rPr>
        <w:rFonts w:ascii="Wingdings" w:hAnsi="Wingdings" w:hint="default"/>
      </w:rPr>
    </w:lvl>
    <w:lvl w:ilvl="6" w:tplc="08070001" w:tentative="1">
      <w:start w:val="1"/>
      <w:numFmt w:val="bullet"/>
      <w:lvlText w:val=""/>
      <w:lvlJc w:val="left"/>
      <w:pPr>
        <w:ind w:left="5746" w:hanging="360"/>
      </w:pPr>
      <w:rPr>
        <w:rFonts w:ascii="Symbol" w:hAnsi="Symbol" w:hint="default"/>
      </w:rPr>
    </w:lvl>
    <w:lvl w:ilvl="7" w:tplc="08070003" w:tentative="1">
      <w:start w:val="1"/>
      <w:numFmt w:val="bullet"/>
      <w:lvlText w:val="o"/>
      <w:lvlJc w:val="left"/>
      <w:pPr>
        <w:ind w:left="6466" w:hanging="360"/>
      </w:pPr>
      <w:rPr>
        <w:rFonts w:ascii="Courier New" w:hAnsi="Courier New" w:cs="Courier New" w:hint="default"/>
      </w:rPr>
    </w:lvl>
    <w:lvl w:ilvl="8" w:tplc="08070005" w:tentative="1">
      <w:start w:val="1"/>
      <w:numFmt w:val="bullet"/>
      <w:lvlText w:val=""/>
      <w:lvlJc w:val="left"/>
      <w:pPr>
        <w:ind w:left="7186"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5"/>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A"/>
    <w:rsid w:val="00004287"/>
    <w:rsid w:val="000107DB"/>
    <w:rsid w:val="00012224"/>
    <w:rsid w:val="00013F1E"/>
    <w:rsid w:val="00027F5D"/>
    <w:rsid w:val="00066228"/>
    <w:rsid w:val="00083735"/>
    <w:rsid w:val="00093EFE"/>
    <w:rsid w:val="000B4218"/>
    <w:rsid w:val="000E257E"/>
    <w:rsid w:val="00115753"/>
    <w:rsid w:val="001244FC"/>
    <w:rsid w:val="00125C6A"/>
    <w:rsid w:val="00130120"/>
    <w:rsid w:val="0015563C"/>
    <w:rsid w:val="0021072A"/>
    <w:rsid w:val="00223785"/>
    <w:rsid w:val="00297BFA"/>
    <w:rsid w:val="00302717"/>
    <w:rsid w:val="0031264A"/>
    <w:rsid w:val="00316E6C"/>
    <w:rsid w:val="00351B5F"/>
    <w:rsid w:val="00387D24"/>
    <w:rsid w:val="003901B2"/>
    <w:rsid w:val="003B6F33"/>
    <w:rsid w:val="003C091B"/>
    <w:rsid w:val="003C7F2F"/>
    <w:rsid w:val="00401341"/>
    <w:rsid w:val="0042772A"/>
    <w:rsid w:val="004465F1"/>
    <w:rsid w:val="0045721C"/>
    <w:rsid w:val="00464F51"/>
    <w:rsid w:val="0048798A"/>
    <w:rsid w:val="004A6974"/>
    <w:rsid w:val="004C1A8A"/>
    <w:rsid w:val="004D4FA9"/>
    <w:rsid w:val="004D7B72"/>
    <w:rsid w:val="00511C31"/>
    <w:rsid w:val="00551529"/>
    <w:rsid w:val="005A137A"/>
    <w:rsid w:val="005A4C62"/>
    <w:rsid w:val="005C0413"/>
    <w:rsid w:val="005C258F"/>
    <w:rsid w:val="005D4220"/>
    <w:rsid w:val="005F5852"/>
    <w:rsid w:val="00631A31"/>
    <w:rsid w:val="00640433"/>
    <w:rsid w:val="006A5E40"/>
    <w:rsid w:val="006B208A"/>
    <w:rsid w:val="006C1A88"/>
    <w:rsid w:val="006D0005"/>
    <w:rsid w:val="007018E1"/>
    <w:rsid w:val="007160E8"/>
    <w:rsid w:val="0075546F"/>
    <w:rsid w:val="00776BD6"/>
    <w:rsid w:val="00780898"/>
    <w:rsid w:val="007831F5"/>
    <w:rsid w:val="007B0B67"/>
    <w:rsid w:val="007E51B3"/>
    <w:rsid w:val="007F6AC7"/>
    <w:rsid w:val="00833829"/>
    <w:rsid w:val="00835C3D"/>
    <w:rsid w:val="00837358"/>
    <w:rsid w:val="00860B16"/>
    <w:rsid w:val="008672D1"/>
    <w:rsid w:val="0087538C"/>
    <w:rsid w:val="008A7569"/>
    <w:rsid w:val="008E008C"/>
    <w:rsid w:val="00910443"/>
    <w:rsid w:val="00937891"/>
    <w:rsid w:val="00943AF2"/>
    <w:rsid w:val="00966744"/>
    <w:rsid w:val="00972577"/>
    <w:rsid w:val="009737CB"/>
    <w:rsid w:val="00994B41"/>
    <w:rsid w:val="009C0E10"/>
    <w:rsid w:val="009C51FF"/>
    <w:rsid w:val="00A11001"/>
    <w:rsid w:val="00A41CCC"/>
    <w:rsid w:val="00AC2025"/>
    <w:rsid w:val="00B16D8A"/>
    <w:rsid w:val="00B3150D"/>
    <w:rsid w:val="00B37040"/>
    <w:rsid w:val="00B4030F"/>
    <w:rsid w:val="00B8545C"/>
    <w:rsid w:val="00BB060F"/>
    <w:rsid w:val="00BB7881"/>
    <w:rsid w:val="00BF755A"/>
    <w:rsid w:val="00C16601"/>
    <w:rsid w:val="00C23FF6"/>
    <w:rsid w:val="00C625A5"/>
    <w:rsid w:val="00C7120A"/>
    <w:rsid w:val="00D05408"/>
    <w:rsid w:val="00D60B60"/>
    <w:rsid w:val="00DB2FEB"/>
    <w:rsid w:val="00DE184A"/>
    <w:rsid w:val="00E363F3"/>
    <w:rsid w:val="00E41D8A"/>
    <w:rsid w:val="00E473F8"/>
    <w:rsid w:val="00E83F50"/>
    <w:rsid w:val="00EA2E9F"/>
    <w:rsid w:val="00EC3673"/>
    <w:rsid w:val="00F21F4D"/>
    <w:rsid w:val="00F46FCD"/>
    <w:rsid w:val="00F74FA8"/>
    <w:rsid w:val="00F9075F"/>
    <w:rsid w:val="00FC2D36"/>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55BE9D8-D3A9-4DE0-A51D-3CCF14D0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C7120A"/>
    <w:rPr>
      <w:color w:val="0000FF"/>
      <w:u w:val="single"/>
    </w:rPr>
  </w:style>
  <w:style w:type="paragraph" w:styleId="Kommentartext">
    <w:name w:val="annotation text"/>
    <w:basedOn w:val="Standard"/>
    <w:link w:val="KommentartextZchn"/>
    <w:uiPriority w:val="99"/>
    <w:semiHidden/>
    <w:unhideWhenUsed/>
    <w:rsid w:val="00966744"/>
  </w:style>
  <w:style w:type="character" w:customStyle="1" w:styleId="KommentartextZchn">
    <w:name w:val="Kommentartext Zchn"/>
    <w:link w:val="Kommentartext"/>
    <w:uiPriority w:val="99"/>
    <w:semiHidden/>
    <w:rsid w:val="00966744"/>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rsid w:val="00966744"/>
    <w:pPr>
      <w:spacing w:after="200" w:line="276" w:lineRule="auto"/>
    </w:pPr>
    <w:rPr>
      <w:rFonts w:ascii="Calibri" w:eastAsia="Calibri" w:hAnsi="Calibri"/>
      <w:b/>
      <w:bCs/>
      <w:spacing w:val="0"/>
      <w:lang w:val="de-CH" w:eastAsia="en-US"/>
    </w:rPr>
  </w:style>
  <w:style w:type="character" w:customStyle="1" w:styleId="KommentarthemaZchn">
    <w:name w:val="Kommentarthema Zchn"/>
    <w:link w:val="Kommentarthema"/>
    <w:uiPriority w:val="99"/>
    <w:semiHidden/>
    <w:rsid w:val="00966744"/>
    <w:rPr>
      <w:rFonts w:ascii="Calibri" w:eastAsia="Calibri" w:hAnsi="Calibri"/>
      <w:b/>
      <w:bCs/>
      <w:spacing w:val="10"/>
      <w:lang w:val="de-DE" w:eastAsia="en-US"/>
    </w:rPr>
  </w:style>
  <w:style w:type="paragraph" w:styleId="Listenabsatz">
    <w:name w:val="List Paragraph"/>
    <w:basedOn w:val="Standard"/>
    <w:uiPriority w:val="34"/>
    <w:qFormat/>
    <w:rsid w:val="00966744"/>
    <w:pPr>
      <w:spacing w:after="200" w:line="276" w:lineRule="auto"/>
      <w:ind w:left="720"/>
      <w:contextualSpacing/>
    </w:pPr>
    <w:rPr>
      <w:rFonts w:eastAsia="Calibri"/>
      <w:spacing w:val="0"/>
      <w:sz w:val="22"/>
      <w:szCs w:val="22"/>
      <w:lang w:val="de-CH" w:eastAsia="en-US"/>
    </w:rPr>
  </w:style>
  <w:style w:type="table" w:styleId="Tabellenraster">
    <w:name w:val="Table Grid"/>
    <w:basedOn w:val="NormaleTabelle"/>
    <w:uiPriority w:val="59"/>
    <w:rsid w:val="00966744"/>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D788-CFDB-4CDA-B537-A9C3C030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4803D052</Template>
  <TotalTime>0</TotalTime>
  <Pages>2</Pages>
  <Words>595</Words>
  <Characters>4579</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2</cp:revision>
  <cp:lastPrinted>2013-08-10T01:27:00Z</cp:lastPrinted>
  <dcterms:created xsi:type="dcterms:W3CDTF">2019-06-05T07:35:00Z</dcterms:created>
  <dcterms:modified xsi:type="dcterms:W3CDTF">2019-06-05T07:35:00Z</dcterms:modified>
</cp:coreProperties>
</file>